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0B5A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威海市商事调解组织名册</w:t>
      </w:r>
    </w:p>
    <w:bookmarkEnd w:id="0"/>
    <w:p w14:paraId="44D515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tbl>
      <w:tblPr>
        <w:tblStyle w:val="3"/>
        <w:tblW w:w="9521" w:type="dxa"/>
        <w:tblInd w:w="-61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3"/>
        <w:gridCol w:w="1150"/>
        <w:gridCol w:w="1050"/>
        <w:gridCol w:w="970"/>
        <w:gridCol w:w="2496"/>
        <w:gridCol w:w="2952"/>
      </w:tblGrid>
      <w:tr w14:paraId="7E14FD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42" w:hRule="atLeast"/>
        </w:trPr>
        <w:tc>
          <w:tcPr>
            <w:tcW w:w="903" w:type="dxa"/>
          </w:tcPr>
          <w:p w14:paraId="74D85080">
            <w:pPr>
              <w:rPr>
                <w:rFonts w:hint="eastAsia" w:ascii="CESI黑体-GB2312" w:hAnsi="CESI黑体-GB2312" w:eastAsia="CESI黑体-GB2312" w:cs="CESI黑体-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CESI黑体-GB2312" w:hAnsi="CESI黑体-GB2312" w:eastAsia="CESI黑体-GB2312" w:cs="CESI黑体-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调解组</w:t>
            </w:r>
          </w:p>
          <w:p w14:paraId="7745F6A9">
            <w:pPr>
              <w:rPr>
                <w:rFonts w:hint="eastAsia" w:ascii="CESI黑体-GB2312" w:hAnsi="CESI黑体-GB2312" w:eastAsia="CESI黑体-GB2312" w:cs="CESI黑体-GB2312"/>
                <w:sz w:val="21"/>
                <w:szCs w:val="21"/>
                <w:vertAlign w:val="baseline"/>
              </w:rPr>
            </w:pPr>
            <w:r>
              <w:rPr>
                <w:rFonts w:hint="eastAsia" w:ascii="CESI黑体-GB2312" w:hAnsi="CESI黑体-GB2312" w:eastAsia="CESI黑体-GB2312" w:cs="CESI黑体-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织名称</w:t>
            </w:r>
          </w:p>
        </w:tc>
        <w:tc>
          <w:tcPr>
            <w:tcW w:w="1150" w:type="dxa"/>
            <w:shd w:val="clear" w:color="auto" w:fill="auto"/>
            <w:vAlign w:val="center"/>
          </w:tcPr>
          <w:p w14:paraId="7522F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黑体-GB2312" w:hAnsi="CESI黑体-GB2312" w:eastAsia="CESI黑体-GB2312" w:cs="CESI黑体-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CESI黑体-GB2312" w:hAnsi="CESI黑体-GB2312" w:eastAsia="CESI黑体-GB2312" w:cs="CESI黑体-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地址</w:t>
            </w:r>
          </w:p>
        </w:tc>
        <w:tc>
          <w:tcPr>
            <w:tcW w:w="1050" w:type="dxa"/>
            <w:shd w:val="clear" w:color="auto" w:fill="auto"/>
            <w:vAlign w:val="center"/>
          </w:tcPr>
          <w:p w14:paraId="36B92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黑体-GB2312" w:hAnsi="CESI黑体-GB2312" w:eastAsia="CESI黑体-GB2312" w:cs="CESI黑体-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CESI黑体-GB2312" w:hAnsi="CESI黑体-GB2312" w:eastAsia="CESI黑体-GB2312" w:cs="CESI黑体-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联系电话</w:t>
            </w:r>
          </w:p>
        </w:tc>
        <w:tc>
          <w:tcPr>
            <w:tcW w:w="970" w:type="dxa"/>
            <w:vAlign w:val="center"/>
          </w:tcPr>
          <w:p w14:paraId="71B85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黑体-GB2312" w:hAnsi="CESI黑体-GB2312" w:eastAsia="CESI黑体-GB2312" w:cs="CESI黑体-GB2312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CESI黑体-GB2312" w:hAnsi="CESI黑体-GB2312" w:eastAsia="CESI黑体-GB2312" w:cs="CESI黑体-GB2312"/>
                <w:sz w:val="21"/>
                <w:szCs w:val="21"/>
                <w:vertAlign w:val="baseline"/>
                <w:lang w:eastAsia="zh-CN"/>
              </w:rPr>
              <w:t>调解员数量</w:t>
            </w:r>
          </w:p>
        </w:tc>
        <w:tc>
          <w:tcPr>
            <w:tcW w:w="2496" w:type="dxa"/>
            <w:vAlign w:val="center"/>
          </w:tcPr>
          <w:p w14:paraId="2E47E4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黑体-GB2312" w:hAnsi="CESI黑体-GB2312" w:eastAsia="CESI黑体-GB2312" w:cs="CESI黑体-GB2312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CESI黑体-GB2312" w:hAnsi="CESI黑体-GB2312" w:eastAsia="CESI黑体-GB2312" w:cs="CESI黑体-GB2312"/>
                <w:sz w:val="21"/>
                <w:szCs w:val="21"/>
                <w:vertAlign w:val="baseline"/>
                <w:lang w:eastAsia="zh-CN"/>
              </w:rPr>
              <w:t>业务范围</w:t>
            </w:r>
          </w:p>
        </w:tc>
        <w:tc>
          <w:tcPr>
            <w:tcW w:w="2952" w:type="dxa"/>
            <w:vAlign w:val="center"/>
          </w:tcPr>
          <w:p w14:paraId="7212B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黑体-GB2312" w:hAnsi="CESI黑体-GB2312" w:eastAsia="CESI黑体-GB2312" w:cs="CESI黑体-GB2312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CESI黑体-GB2312" w:hAnsi="CESI黑体-GB2312" w:eastAsia="CESI黑体-GB2312" w:cs="CESI黑体-GB2312"/>
                <w:sz w:val="21"/>
                <w:szCs w:val="21"/>
                <w:vertAlign w:val="baseline"/>
                <w:lang w:eastAsia="zh-CN"/>
              </w:rPr>
              <w:t>收费标准</w:t>
            </w:r>
          </w:p>
        </w:tc>
      </w:tr>
      <w:tr w14:paraId="1738E8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816" w:hRule="atLeast"/>
        </w:trPr>
        <w:tc>
          <w:tcPr>
            <w:tcW w:w="903" w:type="dxa"/>
            <w:vAlign w:val="center"/>
          </w:tcPr>
          <w:p w14:paraId="6B933B60">
            <w:pPr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威海市建和建设工程调解服务中心</w:t>
            </w:r>
          </w:p>
        </w:tc>
        <w:tc>
          <w:tcPr>
            <w:tcW w:w="1150" w:type="dxa"/>
            <w:shd w:val="clear" w:color="auto" w:fill="auto"/>
            <w:vAlign w:val="center"/>
          </w:tcPr>
          <w:p w14:paraId="2897A80D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威海市环翠区海滨北路46号威胜大厦708、709室</w:t>
            </w:r>
          </w:p>
        </w:tc>
        <w:tc>
          <w:tcPr>
            <w:tcW w:w="1050" w:type="dxa"/>
            <w:shd w:val="clear" w:color="auto" w:fill="auto"/>
            <w:vAlign w:val="center"/>
          </w:tcPr>
          <w:p w14:paraId="18AA93ED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0631-5989369</w:t>
            </w:r>
          </w:p>
        </w:tc>
        <w:tc>
          <w:tcPr>
            <w:tcW w:w="970" w:type="dxa"/>
            <w:shd w:val="clear" w:color="auto" w:fill="auto"/>
            <w:vAlign w:val="center"/>
          </w:tcPr>
          <w:p w14:paraId="21B65DD1">
            <w:pPr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调解员：70名；</w:t>
            </w:r>
          </w:p>
          <w:p w14:paraId="618682F8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评审员：23名</w:t>
            </w:r>
          </w:p>
        </w:tc>
        <w:tc>
          <w:tcPr>
            <w:tcW w:w="2496" w:type="dxa"/>
            <w:shd w:val="clear" w:color="auto" w:fill="auto"/>
            <w:vAlign w:val="center"/>
          </w:tcPr>
          <w:p w14:paraId="64209290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住房和城乡建设领域的民事争议、商事争议调解，包括：（一）纠纷调解；（二）争议评审；（三）咨询服务；（四）业务培训</w:t>
            </w:r>
          </w:p>
        </w:tc>
        <w:tc>
          <w:tcPr>
            <w:tcW w:w="2952" w:type="dxa"/>
            <w:shd w:val="clear" w:color="auto" w:fill="auto"/>
            <w:vAlign w:val="center"/>
          </w:tcPr>
          <w:p w14:paraId="071BEBF4">
            <w:pPr>
              <w:jc w:val="left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涉及工程建设、技术服务、材料供应的商事纠纷，调解协议确定金额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100万元（含）以下的，按0.5%交纳；100万元至500万元（含）部分按0.3%交纳；500万元至1000万元（含）部分按0.2%交纳；1000万元至5000万元（含）部分按0.1%交纳；5000万元至1亿元（含）部分按0.5</w:t>
            </w:r>
            <w:r>
              <w:rPr>
                <w:rFonts w:hint="default" w:ascii="Arial" w:hAnsi="Arial" w:eastAsia="仿宋_GB2312" w:cs="Arial"/>
                <w:sz w:val="21"/>
                <w:szCs w:val="21"/>
                <w:vertAlign w:val="baseline"/>
                <w:lang w:val="en-US" w:eastAsia="zh-CN"/>
              </w:rPr>
              <w:t>‰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交纳；1亿元以上部分按0.3</w:t>
            </w:r>
            <w:r>
              <w:rPr>
                <w:rFonts w:hint="default" w:ascii="Arial" w:hAnsi="Arial" w:eastAsia="仿宋_GB2312" w:cs="Arial"/>
                <w:sz w:val="21"/>
                <w:szCs w:val="21"/>
                <w:vertAlign w:val="baseline"/>
                <w:lang w:val="en-US" w:eastAsia="zh-CN"/>
              </w:rPr>
              <w:t>‰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交纳，10万元封顶。</w:t>
            </w:r>
          </w:p>
          <w:p w14:paraId="71721FEA">
            <w:pPr>
              <w:jc w:val="left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进入调解程序的，按件收取案件受理费500元。达成调解协议的，调解费用原则上由当事人平均分担，当事人就分担比例另有约定的，从其约定，并在调解总费用中扣除案件受理费；未达成调解协议的，案件受理费不予退还。</w:t>
            </w:r>
          </w:p>
        </w:tc>
      </w:tr>
      <w:tr w14:paraId="5ED7BB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3" w:type="dxa"/>
            <w:vAlign w:val="center"/>
          </w:tcPr>
          <w:p w14:paraId="275FEE7C">
            <w:pPr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威海市酬和商事调解中心</w:t>
            </w:r>
          </w:p>
        </w:tc>
        <w:tc>
          <w:tcPr>
            <w:tcW w:w="1150" w:type="dxa"/>
            <w:shd w:val="clear" w:color="auto" w:fill="auto"/>
            <w:vAlign w:val="center"/>
          </w:tcPr>
          <w:p w14:paraId="6A560ED2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威海经区广安苑小区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14号302、303室</w:t>
            </w:r>
          </w:p>
        </w:tc>
        <w:tc>
          <w:tcPr>
            <w:tcW w:w="1050" w:type="dxa"/>
            <w:shd w:val="clear" w:color="auto" w:fill="auto"/>
            <w:vAlign w:val="center"/>
          </w:tcPr>
          <w:p w14:paraId="63C52CF3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5981606</w:t>
            </w:r>
          </w:p>
        </w:tc>
        <w:tc>
          <w:tcPr>
            <w:tcW w:w="970" w:type="dxa"/>
            <w:shd w:val="clear" w:color="auto" w:fill="auto"/>
            <w:vAlign w:val="center"/>
          </w:tcPr>
          <w:p w14:paraId="356962DB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20</w:t>
            </w:r>
          </w:p>
        </w:tc>
        <w:tc>
          <w:tcPr>
            <w:tcW w:w="2496" w:type="dxa"/>
            <w:shd w:val="clear" w:color="auto" w:fill="auto"/>
            <w:vAlign w:val="center"/>
          </w:tcPr>
          <w:p w14:paraId="7DBBE853">
            <w:pPr>
              <w:jc w:val="left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商事纠纷的法律调解</w:t>
            </w:r>
          </w:p>
        </w:tc>
        <w:tc>
          <w:tcPr>
            <w:tcW w:w="2952" w:type="dxa"/>
          </w:tcPr>
          <w:p w14:paraId="49BDCD77">
            <w:pPr>
              <w:jc w:val="left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调解成功的，按照以下标准收取调解费：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标的额50万元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（含）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以下的，按照标的额的1.5%交纳;50万元至100万元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（含）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部分，按1.2%交纳;100万元至200万元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（含）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部分，按1%交纳;200万元至500万元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（含）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部分，按0.9%交纳;500万元至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000万元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（含）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部分，按0.8%交纳;1000万元至2000万元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（含）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部分，按0.7%交纳;2000万元至5000万元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（含）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部分，按0.6%交纳;超过5000万元部分，按0.5%交纳。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调解费原则上由当事人平均分担，当事人就分担比例另有约定的，从其约定。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调解不成功的不收费。</w:t>
            </w:r>
          </w:p>
        </w:tc>
      </w:tr>
      <w:tr w14:paraId="39B84F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</w:trPr>
        <w:tc>
          <w:tcPr>
            <w:tcW w:w="903" w:type="dxa"/>
          </w:tcPr>
          <w:p w14:paraId="67B93E95">
            <w:pPr>
              <w:rPr>
                <w:rFonts w:hint="eastAsia" w:ascii="CESI黑体-GB2312" w:hAnsi="CESI黑体-GB2312" w:eastAsia="CESI黑体-GB2312" w:cs="CESI黑体-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CESI黑体-GB2312" w:hAnsi="CESI黑体-GB2312" w:eastAsia="CESI黑体-GB2312" w:cs="CESI黑体-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调解组</w:t>
            </w:r>
          </w:p>
          <w:p w14:paraId="3D81C45D">
            <w:pPr>
              <w:rPr>
                <w:rFonts w:hint="eastAsia" w:ascii="CESI黑体-GB2312" w:hAnsi="CESI黑体-GB2312" w:eastAsia="CESI黑体-GB2312" w:cs="CESI黑体-GB2312"/>
                <w:sz w:val="21"/>
                <w:szCs w:val="21"/>
                <w:vertAlign w:val="baseline"/>
              </w:rPr>
            </w:pPr>
            <w:r>
              <w:rPr>
                <w:rFonts w:hint="eastAsia" w:ascii="CESI黑体-GB2312" w:hAnsi="CESI黑体-GB2312" w:eastAsia="CESI黑体-GB2312" w:cs="CESI黑体-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织名称</w:t>
            </w:r>
          </w:p>
        </w:tc>
        <w:tc>
          <w:tcPr>
            <w:tcW w:w="1150" w:type="dxa"/>
            <w:shd w:val="clear" w:color="auto" w:fill="auto"/>
            <w:vAlign w:val="center"/>
          </w:tcPr>
          <w:p w14:paraId="773DC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黑体-GB2312" w:hAnsi="CESI黑体-GB2312" w:eastAsia="CESI黑体-GB2312" w:cs="CESI黑体-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CESI黑体-GB2312" w:hAnsi="CESI黑体-GB2312" w:eastAsia="CESI黑体-GB2312" w:cs="CESI黑体-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地址</w:t>
            </w:r>
          </w:p>
        </w:tc>
        <w:tc>
          <w:tcPr>
            <w:tcW w:w="1050" w:type="dxa"/>
            <w:shd w:val="clear" w:color="auto" w:fill="auto"/>
            <w:vAlign w:val="center"/>
          </w:tcPr>
          <w:p w14:paraId="50E79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黑体-GB2312" w:hAnsi="CESI黑体-GB2312" w:eastAsia="CESI黑体-GB2312" w:cs="CESI黑体-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CESI黑体-GB2312" w:hAnsi="CESI黑体-GB2312" w:eastAsia="CESI黑体-GB2312" w:cs="CESI黑体-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联系电话</w:t>
            </w:r>
          </w:p>
        </w:tc>
        <w:tc>
          <w:tcPr>
            <w:tcW w:w="970" w:type="dxa"/>
            <w:vAlign w:val="center"/>
          </w:tcPr>
          <w:p w14:paraId="67F3A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黑体-GB2312" w:hAnsi="CESI黑体-GB2312" w:eastAsia="CESI黑体-GB2312" w:cs="CESI黑体-GB2312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CESI黑体-GB2312" w:hAnsi="CESI黑体-GB2312" w:eastAsia="CESI黑体-GB2312" w:cs="CESI黑体-GB2312"/>
                <w:sz w:val="21"/>
                <w:szCs w:val="21"/>
                <w:vertAlign w:val="baseline"/>
                <w:lang w:eastAsia="zh-CN"/>
              </w:rPr>
              <w:t>调解员数量</w:t>
            </w:r>
          </w:p>
        </w:tc>
        <w:tc>
          <w:tcPr>
            <w:tcW w:w="2496" w:type="dxa"/>
            <w:vAlign w:val="center"/>
          </w:tcPr>
          <w:p w14:paraId="5ACBD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黑体-GB2312" w:hAnsi="CESI黑体-GB2312" w:eastAsia="CESI黑体-GB2312" w:cs="CESI黑体-GB2312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CESI黑体-GB2312" w:hAnsi="CESI黑体-GB2312" w:eastAsia="CESI黑体-GB2312" w:cs="CESI黑体-GB2312"/>
                <w:sz w:val="21"/>
                <w:szCs w:val="21"/>
                <w:vertAlign w:val="baseline"/>
                <w:lang w:eastAsia="zh-CN"/>
              </w:rPr>
              <w:t>业务范围</w:t>
            </w:r>
          </w:p>
        </w:tc>
        <w:tc>
          <w:tcPr>
            <w:tcW w:w="2952" w:type="dxa"/>
            <w:vAlign w:val="center"/>
          </w:tcPr>
          <w:p w14:paraId="1C144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黑体-GB2312" w:hAnsi="CESI黑体-GB2312" w:eastAsia="CESI黑体-GB2312" w:cs="CESI黑体-GB2312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CESI黑体-GB2312" w:hAnsi="CESI黑体-GB2312" w:eastAsia="CESI黑体-GB2312" w:cs="CESI黑体-GB2312"/>
                <w:sz w:val="21"/>
                <w:szCs w:val="21"/>
                <w:vertAlign w:val="baseline"/>
                <w:lang w:eastAsia="zh-CN"/>
              </w:rPr>
              <w:t>收费标准</w:t>
            </w:r>
          </w:p>
        </w:tc>
      </w:tr>
      <w:tr w14:paraId="68856B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03" w:type="dxa"/>
            <w:vAlign w:val="center"/>
          </w:tcPr>
          <w:p w14:paraId="661F7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威海律谐法律服务中心</w:t>
            </w:r>
          </w:p>
        </w:tc>
        <w:tc>
          <w:tcPr>
            <w:tcW w:w="1150" w:type="dxa"/>
            <w:vAlign w:val="center"/>
          </w:tcPr>
          <w:p w14:paraId="43FB2D70">
            <w:pPr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威海市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塔山中路137号威海市政务服务中心4楼421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号</w:t>
            </w:r>
          </w:p>
        </w:tc>
        <w:tc>
          <w:tcPr>
            <w:tcW w:w="1050" w:type="dxa"/>
            <w:vAlign w:val="center"/>
          </w:tcPr>
          <w:p w14:paraId="4F8DDABB">
            <w:pPr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5203123</w:t>
            </w:r>
          </w:p>
        </w:tc>
        <w:tc>
          <w:tcPr>
            <w:tcW w:w="970" w:type="dxa"/>
            <w:vAlign w:val="center"/>
          </w:tcPr>
          <w:p w14:paraId="1340144D">
            <w:pPr>
              <w:jc w:val="center"/>
              <w:rPr>
                <w:rFonts w:hint="default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30</w:t>
            </w:r>
          </w:p>
        </w:tc>
        <w:tc>
          <w:tcPr>
            <w:tcW w:w="2496" w:type="dxa"/>
            <w:vAlign w:val="center"/>
          </w:tcPr>
          <w:p w14:paraId="4FE251C3">
            <w:pPr>
              <w:jc w:val="both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贸易、投资、金融、效能运输、房地产、知识产权、技术转让等领域</w:t>
            </w:r>
          </w:p>
        </w:tc>
        <w:tc>
          <w:tcPr>
            <w:tcW w:w="2952" w:type="dxa"/>
          </w:tcPr>
          <w:p w14:paraId="20B3A2D9">
            <w:pPr>
              <w:jc w:val="left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财产案件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：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根据争议标的额的一定比例计取调解费用。按法院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诉讼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案件受理费的50%收取；单件收费不满600元的，最低按每件600元收取。非财产案件原则上按每件1000元收取调解费用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。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允许当事人与调解员自主协商确定合理的调解费用。调解不成功的不收费。</w:t>
            </w:r>
          </w:p>
        </w:tc>
      </w:tr>
      <w:tr w14:paraId="50EF67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3" w:type="dxa"/>
            <w:vAlign w:val="center"/>
          </w:tcPr>
          <w:p w14:paraId="7B42B397">
            <w:pPr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威海经济技术开发区晓鸣律师调解工作室</w:t>
            </w:r>
          </w:p>
        </w:tc>
        <w:tc>
          <w:tcPr>
            <w:tcW w:w="1150" w:type="dxa"/>
            <w:shd w:val="clear" w:color="auto" w:fill="auto"/>
            <w:vAlign w:val="center"/>
          </w:tcPr>
          <w:p w14:paraId="22C408AF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威海经济技术开发区蓝星万象城-23号-A814</w:t>
            </w:r>
          </w:p>
        </w:tc>
        <w:tc>
          <w:tcPr>
            <w:tcW w:w="1050" w:type="dxa"/>
            <w:shd w:val="clear" w:color="auto" w:fill="auto"/>
            <w:vAlign w:val="center"/>
          </w:tcPr>
          <w:p w14:paraId="627A5DBF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18606318655</w:t>
            </w:r>
          </w:p>
        </w:tc>
        <w:tc>
          <w:tcPr>
            <w:tcW w:w="970" w:type="dxa"/>
            <w:shd w:val="clear" w:color="auto" w:fill="auto"/>
            <w:vAlign w:val="center"/>
          </w:tcPr>
          <w:p w14:paraId="5D48C336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30</w:t>
            </w:r>
          </w:p>
        </w:tc>
        <w:tc>
          <w:tcPr>
            <w:tcW w:w="2496" w:type="dxa"/>
            <w:shd w:val="clear" w:color="auto" w:fill="auto"/>
            <w:vAlign w:val="center"/>
          </w:tcPr>
          <w:p w14:paraId="61CA5619">
            <w:pPr>
              <w:jc w:val="left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受理各类民商事纠纷调解，婚姻关系、身份关系确认案件以及其他依案件性质不能进行调解的除外。</w:t>
            </w:r>
          </w:p>
        </w:tc>
        <w:tc>
          <w:tcPr>
            <w:tcW w:w="2952" w:type="dxa"/>
            <w:shd w:val="clear" w:color="auto" w:fill="auto"/>
            <w:vAlign w:val="center"/>
          </w:tcPr>
          <w:p w14:paraId="015AD8BB">
            <w:pPr>
              <w:jc w:val="left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调解案件成功后，按照法院诉讼案件受理费的50%收取调解费，若按照此标准调解费不足400元的，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按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每件400元执行。调解费原则上由双方当事人各自负担50%，但双方协商负担比例的尊重当事人的意思表示；调解不成功的不收费。</w:t>
            </w:r>
          </w:p>
        </w:tc>
      </w:tr>
      <w:tr w14:paraId="62AB22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3" w:type="dxa"/>
            <w:vAlign w:val="center"/>
          </w:tcPr>
          <w:p w14:paraId="1739D545">
            <w:pPr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威海经济技术开发区天秤调解工作室</w:t>
            </w:r>
          </w:p>
        </w:tc>
        <w:tc>
          <w:tcPr>
            <w:tcW w:w="1150" w:type="dxa"/>
            <w:shd w:val="clear" w:color="auto" w:fill="auto"/>
            <w:vAlign w:val="center"/>
          </w:tcPr>
          <w:p w14:paraId="4FE97248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威海经济技术开发区乐天世纪城6号-A202室</w:t>
            </w:r>
          </w:p>
        </w:tc>
        <w:tc>
          <w:tcPr>
            <w:tcW w:w="1050" w:type="dxa"/>
            <w:shd w:val="clear" w:color="auto" w:fill="auto"/>
            <w:vAlign w:val="center"/>
          </w:tcPr>
          <w:p w14:paraId="6D337956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18663185626</w:t>
            </w:r>
          </w:p>
        </w:tc>
        <w:tc>
          <w:tcPr>
            <w:tcW w:w="970" w:type="dxa"/>
            <w:shd w:val="clear" w:color="auto" w:fill="auto"/>
            <w:vAlign w:val="center"/>
          </w:tcPr>
          <w:p w14:paraId="21CC2599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17</w:t>
            </w:r>
          </w:p>
        </w:tc>
        <w:tc>
          <w:tcPr>
            <w:tcW w:w="2496" w:type="dxa"/>
            <w:shd w:val="clear" w:color="auto" w:fill="auto"/>
            <w:vAlign w:val="center"/>
          </w:tcPr>
          <w:p w14:paraId="1BD6455A">
            <w:pPr>
              <w:jc w:val="left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受理民商事纠纷调解，婚姻关系、身份关系确认案件以及其他依案件性质不能进行调解的除外</w:t>
            </w:r>
          </w:p>
        </w:tc>
        <w:tc>
          <w:tcPr>
            <w:tcW w:w="2952" w:type="dxa"/>
            <w:shd w:val="clear" w:color="auto" w:fill="auto"/>
            <w:vAlign w:val="center"/>
          </w:tcPr>
          <w:p w14:paraId="48398D93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暂无</w:t>
            </w:r>
          </w:p>
        </w:tc>
      </w:tr>
    </w:tbl>
    <w:p w14:paraId="177770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0B4A79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667F7A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727287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2F7827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55E0FF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6591AC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4B22C2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4BF322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/>
        <w:jc w:val="both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tbl>
      <w:tblPr>
        <w:tblStyle w:val="3"/>
        <w:tblW w:w="9521" w:type="dxa"/>
        <w:tblInd w:w="-61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3"/>
        <w:gridCol w:w="1150"/>
        <w:gridCol w:w="1050"/>
        <w:gridCol w:w="970"/>
        <w:gridCol w:w="2496"/>
        <w:gridCol w:w="2952"/>
      </w:tblGrid>
      <w:tr w14:paraId="53A3AC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</w:trPr>
        <w:tc>
          <w:tcPr>
            <w:tcW w:w="903" w:type="dxa"/>
          </w:tcPr>
          <w:p w14:paraId="5B96A014">
            <w:pPr>
              <w:rPr>
                <w:rFonts w:hint="eastAsia" w:ascii="CESI黑体-GB2312" w:hAnsi="CESI黑体-GB2312" w:eastAsia="CESI黑体-GB2312" w:cs="CESI黑体-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CESI黑体-GB2312" w:hAnsi="CESI黑体-GB2312" w:eastAsia="CESI黑体-GB2312" w:cs="CESI黑体-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调解组</w:t>
            </w:r>
          </w:p>
          <w:p w14:paraId="4CB85B0F">
            <w:pPr>
              <w:rPr>
                <w:rFonts w:hint="eastAsia" w:ascii="CESI黑体-GB2312" w:hAnsi="CESI黑体-GB2312" w:eastAsia="CESI黑体-GB2312" w:cs="CESI黑体-GB2312"/>
                <w:sz w:val="21"/>
                <w:szCs w:val="21"/>
                <w:vertAlign w:val="baseline"/>
              </w:rPr>
            </w:pPr>
            <w:r>
              <w:rPr>
                <w:rFonts w:hint="eastAsia" w:ascii="CESI黑体-GB2312" w:hAnsi="CESI黑体-GB2312" w:eastAsia="CESI黑体-GB2312" w:cs="CESI黑体-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织名称</w:t>
            </w:r>
          </w:p>
        </w:tc>
        <w:tc>
          <w:tcPr>
            <w:tcW w:w="1150" w:type="dxa"/>
            <w:shd w:val="clear" w:color="auto" w:fill="auto"/>
            <w:vAlign w:val="center"/>
          </w:tcPr>
          <w:p w14:paraId="1F1BC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黑体-GB2312" w:hAnsi="CESI黑体-GB2312" w:eastAsia="CESI黑体-GB2312" w:cs="CESI黑体-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CESI黑体-GB2312" w:hAnsi="CESI黑体-GB2312" w:eastAsia="CESI黑体-GB2312" w:cs="CESI黑体-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地址</w:t>
            </w:r>
          </w:p>
        </w:tc>
        <w:tc>
          <w:tcPr>
            <w:tcW w:w="1050" w:type="dxa"/>
            <w:shd w:val="clear" w:color="auto" w:fill="auto"/>
            <w:vAlign w:val="center"/>
          </w:tcPr>
          <w:p w14:paraId="76B99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黑体-GB2312" w:hAnsi="CESI黑体-GB2312" w:eastAsia="CESI黑体-GB2312" w:cs="CESI黑体-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CESI黑体-GB2312" w:hAnsi="CESI黑体-GB2312" w:eastAsia="CESI黑体-GB2312" w:cs="CESI黑体-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联系电话</w:t>
            </w:r>
          </w:p>
        </w:tc>
        <w:tc>
          <w:tcPr>
            <w:tcW w:w="970" w:type="dxa"/>
            <w:vAlign w:val="center"/>
          </w:tcPr>
          <w:p w14:paraId="11A7F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黑体-GB2312" w:hAnsi="CESI黑体-GB2312" w:eastAsia="CESI黑体-GB2312" w:cs="CESI黑体-GB2312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CESI黑体-GB2312" w:hAnsi="CESI黑体-GB2312" w:eastAsia="CESI黑体-GB2312" w:cs="CESI黑体-GB2312"/>
                <w:sz w:val="21"/>
                <w:szCs w:val="21"/>
                <w:vertAlign w:val="baseline"/>
                <w:lang w:eastAsia="zh-CN"/>
              </w:rPr>
              <w:t>调解员数量</w:t>
            </w:r>
          </w:p>
        </w:tc>
        <w:tc>
          <w:tcPr>
            <w:tcW w:w="2496" w:type="dxa"/>
            <w:vAlign w:val="center"/>
          </w:tcPr>
          <w:p w14:paraId="7C537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黑体-GB2312" w:hAnsi="CESI黑体-GB2312" w:eastAsia="CESI黑体-GB2312" w:cs="CESI黑体-GB2312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CESI黑体-GB2312" w:hAnsi="CESI黑体-GB2312" w:eastAsia="CESI黑体-GB2312" w:cs="CESI黑体-GB2312"/>
                <w:sz w:val="21"/>
                <w:szCs w:val="21"/>
                <w:vertAlign w:val="baseline"/>
                <w:lang w:eastAsia="zh-CN"/>
              </w:rPr>
              <w:t>业务范围</w:t>
            </w:r>
          </w:p>
        </w:tc>
        <w:tc>
          <w:tcPr>
            <w:tcW w:w="2952" w:type="dxa"/>
            <w:vAlign w:val="center"/>
          </w:tcPr>
          <w:p w14:paraId="5DA26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黑体-GB2312" w:hAnsi="CESI黑体-GB2312" w:eastAsia="CESI黑体-GB2312" w:cs="CESI黑体-GB2312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CESI黑体-GB2312" w:hAnsi="CESI黑体-GB2312" w:eastAsia="CESI黑体-GB2312" w:cs="CESI黑体-GB2312"/>
                <w:sz w:val="21"/>
                <w:szCs w:val="21"/>
                <w:vertAlign w:val="baseline"/>
                <w:lang w:eastAsia="zh-CN"/>
              </w:rPr>
              <w:t>收费标准</w:t>
            </w:r>
          </w:p>
        </w:tc>
      </w:tr>
      <w:tr w14:paraId="748E8C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3" w:type="dxa"/>
            <w:vAlign w:val="center"/>
          </w:tcPr>
          <w:p w14:paraId="2DC8F626">
            <w:pPr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威海经济技术开发区汇佳调解工作室</w:t>
            </w:r>
          </w:p>
        </w:tc>
        <w:tc>
          <w:tcPr>
            <w:tcW w:w="1150" w:type="dxa"/>
            <w:shd w:val="clear" w:color="auto" w:fill="auto"/>
            <w:vAlign w:val="center"/>
          </w:tcPr>
          <w:p w14:paraId="4A94C12B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威海市青岛中路83号1301-13、1301-14</w:t>
            </w:r>
          </w:p>
        </w:tc>
        <w:tc>
          <w:tcPr>
            <w:tcW w:w="1050" w:type="dxa"/>
            <w:shd w:val="clear" w:color="auto" w:fill="auto"/>
            <w:vAlign w:val="center"/>
          </w:tcPr>
          <w:p w14:paraId="010A8725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18669352688</w:t>
            </w:r>
          </w:p>
        </w:tc>
        <w:tc>
          <w:tcPr>
            <w:tcW w:w="970" w:type="dxa"/>
            <w:shd w:val="clear" w:color="auto" w:fill="auto"/>
            <w:vAlign w:val="center"/>
          </w:tcPr>
          <w:p w14:paraId="69A49C16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18</w:t>
            </w:r>
          </w:p>
        </w:tc>
        <w:tc>
          <w:tcPr>
            <w:tcW w:w="2496" w:type="dxa"/>
            <w:shd w:val="clear" w:color="auto" w:fill="auto"/>
            <w:vAlign w:val="center"/>
          </w:tcPr>
          <w:p w14:paraId="14E2B2A5">
            <w:pPr>
              <w:jc w:val="left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受理民商事纠纷调解，婚姻关系、身份关系确认案件以及其他依案件性质不能进行调解的除外）</w:t>
            </w:r>
          </w:p>
        </w:tc>
        <w:tc>
          <w:tcPr>
            <w:tcW w:w="2952" w:type="dxa"/>
            <w:shd w:val="clear" w:color="auto" w:fill="auto"/>
            <w:vAlign w:val="center"/>
          </w:tcPr>
          <w:p w14:paraId="39EFD331">
            <w:pPr>
              <w:jc w:val="left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每件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600元起，超过600元的按法院诉讼案件受理费的45%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交纳。</w:t>
            </w:r>
          </w:p>
        </w:tc>
      </w:tr>
      <w:tr w14:paraId="292197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03" w:type="dxa"/>
            <w:shd w:val="clear" w:color="auto" w:fill="auto"/>
            <w:vAlign w:val="center"/>
          </w:tcPr>
          <w:p w14:paraId="1E0F271D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威海经济技术开发区六尺巷商事调解中心</w:t>
            </w:r>
          </w:p>
        </w:tc>
        <w:tc>
          <w:tcPr>
            <w:tcW w:w="1150" w:type="dxa"/>
            <w:shd w:val="clear" w:color="auto" w:fill="auto"/>
            <w:vAlign w:val="center"/>
          </w:tcPr>
          <w:p w14:paraId="30338555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威海经区广安苑小区1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号305、306、307室</w:t>
            </w:r>
          </w:p>
        </w:tc>
        <w:tc>
          <w:tcPr>
            <w:tcW w:w="1050" w:type="dxa"/>
            <w:shd w:val="clear" w:color="auto" w:fill="auto"/>
            <w:vAlign w:val="center"/>
          </w:tcPr>
          <w:p w14:paraId="411D4625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5981606</w:t>
            </w:r>
          </w:p>
        </w:tc>
        <w:tc>
          <w:tcPr>
            <w:tcW w:w="970" w:type="dxa"/>
            <w:shd w:val="clear" w:color="auto" w:fill="auto"/>
            <w:vAlign w:val="center"/>
          </w:tcPr>
          <w:p w14:paraId="71AF95A5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20</w:t>
            </w:r>
          </w:p>
        </w:tc>
        <w:tc>
          <w:tcPr>
            <w:tcW w:w="2496" w:type="dxa"/>
            <w:shd w:val="clear" w:color="auto" w:fill="auto"/>
            <w:vAlign w:val="center"/>
          </w:tcPr>
          <w:p w14:paraId="7926818C">
            <w:pPr>
              <w:jc w:val="left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受理调解平等主体的自然人、法人和其他组织之间在贸易、投融资、金融、证券、信托、期货、票据、运输、保险、商务服务、房地产、建筑工程、知识产权、海事海商、合同领域的各类商事纠纷。</w:t>
            </w:r>
          </w:p>
        </w:tc>
        <w:tc>
          <w:tcPr>
            <w:tcW w:w="2952" w:type="dxa"/>
            <w:shd w:val="clear" w:color="auto" w:fill="auto"/>
            <w:vAlign w:val="top"/>
          </w:tcPr>
          <w:p w14:paraId="34DA5243">
            <w:pPr>
              <w:jc w:val="left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调解成功的，按照以下标准收取调解费：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标的额50万元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（含）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以下的，按照标的额的1.5%交纳;50万元至100万元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（含）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部分，按1.2%交纳;100万元至200万元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（含）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部分，按1%交纳;200万元至500万元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（含）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部分，按0.9%交纳;500万元至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000万元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（含）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部分，按0.8%交纳;1000万元至2000万元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（含）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部分，按0.7%交纳;2000万元至5000万元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（含）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</w:rPr>
              <w:t>部分，按0.6%交纳;超过5000万元部分，按0.5%交纳。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val="en-US" w:eastAsia="zh-CN"/>
              </w:rPr>
              <w:t>调解费原则上由当事人平均分担，当事人就分担比例另有约定的，从其约定。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vertAlign w:val="baseline"/>
                <w:lang w:eastAsia="zh-CN"/>
              </w:rPr>
              <w:t>调解不成功的不收费。</w:t>
            </w:r>
          </w:p>
        </w:tc>
      </w:tr>
    </w:tbl>
    <w:p w14:paraId="399ECE15"/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Times New Roman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CA9B6A97"/>
    <w:rsid w:val="2BBBF4A7"/>
    <w:rsid w:val="57ED0C48"/>
    <w:rsid w:val="CA9B6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2025-09-24T21:09:00Z</dcterms:created>
  <dc:creator>木子李</dc:creator>
  <cp:lastModifiedBy>木子李</cp:lastModifiedBy>
  <dcterms:modified xsi:type="dcterms:W3CDTF">2025-09-24T21:10:08Z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8CBC027C7EFEFF4B81EDD3680854A6C7_41</vt:lpwstr>
  </property>
</Properties>
</file>